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様式第３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特定施設の種類ごとの数変更届出書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default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振動規制法第８条第１項の規定により、特定施設の種類ごとの数の変更について、次のとおり届け出ます。</w:t>
      </w:r>
    </w:p>
    <w:tbl>
      <w:tblPr>
        <w:tblStyle w:val="11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79"/>
        <w:gridCol w:w="1365"/>
        <w:gridCol w:w="945"/>
        <w:gridCol w:w="840"/>
        <w:gridCol w:w="210"/>
        <w:gridCol w:w="630"/>
        <w:gridCol w:w="1050"/>
        <w:gridCol w:w="210"/>
        <w:gridCol w:w="735"/>
        <w:gridCol w:w="1050"/>
        <w:gridCol w:w="1022"/>
      </w:tblGrid>
      <w:tr>
        <w:trPr>
          <w:cantSplit/>
          <w:trHeight w:val="948" w:hRule="atLeast"/>
        </w:trPr>
        <w:tc>
          <w:tcPr>
            <w:tcW w:w="177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整理番号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944" w:hRule="atLeast"/>
        </w:trPr>
        <w:tc>
          <w:tcPr>
            <w:tcW w:w="177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所在地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受理年月日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eastAsia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　　日</w:t>
            </w:r>
          </w:p>
        </w:tc>
      </w:tr>
      <w:tr>
        <w:trPr>
          <w:cantSplit/>
          <w:trHeight w:val="535" w:hRule="atLeast"/>
        </w:trPr>
        <w:tc>
          <w:tcPr>
            <w:tcW w:w="5139" w:type="dxa"/>
            <w:gridSpan w:val="5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施設番号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36" w:hRule="atLeast"/>
        </w:trPr>
        <w:tc>
          <w:tcPr>
            <w:tcW w:w="5139" w:type="dxa"/>
            <w:gridSpan w:val="5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審査結果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536" w:hRule="atLeast"/>
        </w:trPr>
        <w:tc>
          <w:tcPr>
            <w:tcW w:w="5139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備　　考</w:t>
            </w:r>
          </w:p>
        </w:tc>
        <w:tc>
          <w:tcPr>
            <w:tcW w:w="280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</w:trPr>
        <w:tc>
          <w:tcPr>
            <w:tcW w:w="177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特定施設の種類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型式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公称能力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数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使用開始時刻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使用終了時刻</w:t>
            </w:r>
          </w:p>
        </w:tc>
      </w:tr>
      <w:tr>
        <w:trPr>
          <w:cantSplit/>
        </w:trPr>
        <w:tc>
          <w:tcPr>
            <w:tcW w:w="177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変更後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（時・分）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変更後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（時・分）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（時・分）</w:t>
            </w:r>
          </w:p>
        </w:tc>
        <w:tc>
          <w:tcPr>
            <w:tcW w:w="102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変更後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（時・分）</w:t>
            </w:r>
          </w:p>
        </w:tc>
      </w:tr>
      <w:tr>
        <w:trPr>
          <w:trHeight w:val="1088" w:hRule="atLeast"/>
        </w:trPr>
        <w:tc>
          <w:tcPr>
            <w:tcW w:w="177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1088" w:hRule="atLeast"/>
        </w:trPr>
        <w:tc>
          <w:tcPr>
            <w:tcW w:w="177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1089" w:hRule="atLeast"/>
        </w:trPr>
        <w:tc>
          <w:tcPr>
            <w:tcW w:w="177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特定施設の種類ごとに数に変更がある場合であっても、法第</w:t>
      </w:r>
      <w:r>
        <w:rPr>
          <w:rFonts w:hint="eastAsia" w:ascii="ＭＳ 明朝" w:hAnsi="ＭＳ 明朝"/>
          <w:sz w:val="16"/>
        </w:rPr>
        <w:t>8</w:t>
      </w:r>
      <w:r>
        <w:rPr>
          <w:rFonts w:hint="eastAsia" w:ascii="ＭＳ 明朝" w:hAnsi="ＭＳ 明朝"/>
          <w:sz w:val="16"/>
        </w:rPr>
        <w:t>条第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項ただし書の規定により届出を要しないこととされるときは、当該特定施設の種類については、記載しないこと。</w:t>
      </w:r>
    </w:p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特定施設の種類の欄には、振動規制法施行令別表第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に掲げる項番号及びイ、ロ、ハ等の細分があるときはその記号並びに名称を記載すること。</w:t>
      </w:r>
    </w:p>
    <w:p>
      <w:pPr>
        <w:pStyle w:val="0"/>
        <w:spacing w:line="0" w:lineRule="atLeas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4</w:t>
      </w:r>
      <w:r>
        <w:rPr>
          <w:rFonts w:hint="eastAsia" w:ascii="ＭＳ 明朝" w:hAnsi="ＭＳ 明朝"/>
          <w:sz w:val="16"/>
        </w:rPr>
        <w:t>　届出書及び別紙の用紙の大きさは、図面、表等やむを得ないものを除き、日本工業規格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6"/>
        </w:rPr>
        <w:t>5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9</Words>
  <Characters>516</Characters>
  <Application>JUST Note</Application>
  <Lines>198</Lines>
  <Paragraphs>41</Paragraphs>
  <CharactersWithSpaces>564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2002-12-06T01:45:00Z</cp:lastPrinted>
  <dcterms:created xsi:type="dcterms:W3CDTF">2017-12-20T07:34:00Z</dcterms:created>
  <dcterms:modified xsi:type="dcterms:W3CDTF">2017-12-20T07:35:11Z</dcterms:modified>
</cp:coreProperties>
</file>