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680" w:hanging="1680" w:hangingChars="600"/>
        <w:rPr>
          <w:rFonts w:hint="default" w:asciiTheme="minorEastAsia" w:hAnsiTheme="minorEastAsia"/>
          <w:sz w:val="28"/>
          <w:bdr w:val="single" w:color="auto" w:sz="4" w:space="0"/>
        </w:rPr>
      </w:pPr>
      <w:bookmarkStart w:id="0" w:name="_GoBack"/>
      <w:bookmarkEnd w:id="0"/>
      <w:r>
        <w:rPr>
          <w:rFonts w:hint="eastAsia" w:asciiTheme="minorEastAsia" w:hAnsiTheme="minorEastAsia"/>
          <w:sz w:val="28"/>
          <w:bdr w:val="single" w:color="auto" w:sz="4" w:space="0"/>
        </w:rPr>
        <w:t>正当な理由の範囲について</w:t>
      </w:r>
    </w:p>
    <w:p>
      <w:pPr>
        <w:pStyle w:val="0"/>
        <w:ind w:right="44" w:rightChars="0"/>
        <w:jc w:val="right"/>
        <w:rPr>
          <w:rFonts w:hint="default" w:asciiTheme="minorEastAsia" w:hAnsiTheme="minorEastAsia"/>
        </w:rPr>
      </w:pPr>
      <w:r>
        <w:rPr>
          <w:rFonts w:hint="eastAsia" w:asciiTheme="minorEastAsia" w:hAnsiTheme="minorEastAsia"/>
        </w:rPr>
        <w:t>能美市保険年金課</w:t>
      </w:r>
    </w:p>
    <w:p>
      <w:pPr>
        <w:pStyle w:val="0"/>
        <w:ind w:right="44" w:rightChars="0"/>
        <w:jc w:val="left"/>
        <w:rPr>
          <w:rFonts w:hint="default" w:asciiTheme="minorEastAsia" w:hAnsiTheme="minorEastAsia"/>
        </w:rPr>
      </w:pPr>
    </w:p>
    <w:p>
      <w:pPr>
        <w:pStyle w:val="15"/>
        <w:numPr>
          <w:ilvl w:val="0"/>
          <w:numId w:val="1"/>
        </w:numPr>
        <w:ind w:leftChars="0"/>
        <w:rPr>
          <w:rFonts w:hint="default" w:asciiTheme="minorEastAsia" w:hAnsiTheme="minorEastAsia"/>
        </w:rPr>
      </w:pPr>
      <w:r>
        <w:rPr>
          <w:rFonts w:hint="eastAsia" w:asciiTheme="minorEastAsia" w:hAnsiTheme="minorEastAsia"/>
        </w:rPr>
        <w:t>居宅介護支援事業者の通常の事業の実施地域に訪問介護サービス等が各サービスごとでみた場合に５事業所未満である場合などサービス事業所が少数である場合</w:t>
      </w:r>
    </w:p>
    <w:p>
      <w:pPr>
        <w:pStyle w:val="0"/>
        <w:ind w:left="420" w:hanging="420" w:hangingChars="200"/>
        <w:rPr>
          <w:rFonts w:hint="default" w:asciiTheme="minorEastAsia" w:hAnsiTheme="minorEastAsia"/>
        </w:rPr>
      </w:pPr>
      <w:r>
        <w:rPr>
          <w:rFonts w:hint="eastAsia" w:asciiTheme="minorEastAsia" w:hAnsiTheme="minorEastAsia"/>
        </w:rPr>
        <w:t>（例）訪問介護事業所として４事業所、通所介護事業所として</w:t>
      </w:r>
      <w:r>
        <w:rPr>
          <w:rFonts w:hint="eastAsia" w:asciiTheme="minorEastAsia" w:hAnsiTheme="minorEastAsia"/>
        </w:rPr>
        <w:t>10</w:t>
      </w:r>
      <w:r>
        <w:rPr>
          <w:rFonts w:hint="eastAsia" w:asciiTheme="minorEastAsia" w:hAnsiTheme="minorEastAsia"/>
        </w:rPr>
        <w:t>事業所が存在する地域の場合</w:t>
      </w:r>
    </w:p>
    <w:p>
      <w:pPr>
        <w:pStyle w:val="0"/>
        <w:ind w:left="420" w:hanging="420" w:hangingChars="200"/>
        <w:rPr>
          <w:rFonts w:hint="default" w:asciiTheme="minorEastAsia" w:hAnsiTheme="minorEastAsia"/>
        </w:rPr>
      </w:pPr>
      <w:r>
        <w:rPr>
          <w:rFonts w:hint="eastAsia" w:asciiTheme="minorEastAsia" w:hAnsiTheme="minorEastAsia"/>
        </w:rPr>
        <w:t>　　　紹介率最高法人である訪問介護事業者に対して、減算は適用されないが、紹介率最高法人である通所介護事業者に対して、減算は適用される。</w:t>
      </w:r>
    </w:p>
    <w:p>
      <w:pPr>
        <w:pStyle w:val="0"/>
        <w:ind w:left="420" w:hanging="420" w:hangingChars="200"/>
        <w:rPr>
          <w:rFonts w:hint="default" w:asciiTheme="minorEastAsia" w:hAnsiTheme="minorEastAsia"/>
        </w:rPr>
      </w:pPr>
      <w:r>
        <w:rPr>
          <w:rFonts w:hint="eastAsia" w:asciiTheme="minorEastAsia" w:hAnsiTheme="minorEastAsia"/>
        </w:rPr>
        <w:t>（例）訪問看護事業所として４事業所、通所リハビリテーション事業所として４事業所が存在する地域の場合は、紹介率最高法人である訪問看護事業者、通所リハビリテーション事業者それぞれに対して、減算は適用されない。　</w:t>
      </w:r>
    </w:p>
    <w:p>
      <w:pPr>
        <w:pStyle w:val="15"/>
        <w:numPr>
          <w:ilvl w:val="0"/>
          <w:numId w:val="1"/>
        </w:numPr>
        <w:ind w:leftChars="0"/>
        <w:rPr>
          <w:rFonts w:hint="default" w:asciiTheme="minorEastAsia" w:hAnsiTheme="minorEastAsia"/>
        </w:rPr>
      </w:pPr>
      <w:r>
        <w:rPr>
          <w:rFonts w:hint="eastAsia" w:asciiTheme="minorEastAsia" w:hAnsiTheme="minorEastAsia"/>
        </w:rPr>
        <w:t>特別地域居宅介護支援加算を受けている事業者である場合</w:t>
      </w:r>
    </w:p>
    <w:p>
      <w:pPr>
        <w:pStyle w:val="15"/>
        <w:numPr>
          <w:ilvl w:val="0"/>
          <w:numId w:val="1"/>
        </w:numPr>
        <w:ind w:leftChars="0"/>
        <w:rPr>
          <w:rFonts w:hint="default" w:asciiTheme="minorEastAsia" w:hAnsiTheme="minorEastAsia"/>
        </w:rPr>
      </w:pPr>
      <w:r>
        <w:rPr>
          <w:rFonts w:hint="eastAsia" w:asciiTheme="minorEastAsia" w:hAnsiTheme="minorEastAsia"/>
        </w:rPr>
        <w:t>判定期間の１月当たりの平均居宅サービス計画件数が</w:t>
      </w:r>
      <w:r>
        <w:rPr>
          <w:rFonts w:hint="eastAsia" w:asciiTheme="minorEastAsia" w:hAnsiTheme="minorEastAsia"/>
        </w:rPr>
        <w:t>20</w:t>
      </w:r>
      <w:r>
        <w:rPr>
          <w:rFonts w:hint="eastAsia" w:asciiTheme="minorEastAsia" w:hAnsiTheme="minorEastAsia"/>
        </w:rPr>
        <w:t>件以下であるなど事業所が小規模である場合</w:t>
      </w:r>
    </w:p>
    <w:p>
      <w:pPr>
        <w:pStyle w:val="15"/>
        <w:numPr>
          <w:ilvl w:val="0"/>
          <w:numId w:val="1"/>
        </w:numPr>
        <w:ind w:leftChars="0"/>
        <w:rPr>
          <w:rFonts w:hint="default" w:asciiTheme="minorEastAsia" w:hAnsiTheme="minorEastAsia"/>
        </w:rPr>
      </w:pPr>
      <w:r>
        <w:rPr>
          <w:rFonts w:hint="eastAsia" w:asciiTheme="minorEastAsia" w:hAnsiTheme="minorEastAsia"/>
        </w:rPr>
        <w:t>判定期間の１月当たりの居宅サービス計画のうち、それぞれのサービスが位置づけられた計画件数が１月当たり平均</w:t>
      </w:r>
      <w:r>
        <w:rPr>
          <w:rFonts w:hint="eastAsia" w:asciiTheme="minorEastAsia" w:hAnsiTheme="minorEastAsia"/>
        </w:rPr>
        <w:t>10</w:t>
      </w:r>
      <w:r>
        <w:rPr>
          <w:rFonts w:hint="eastAsia" w:asciiTheme="minorEastAsia" w:hAnsiTheme="minorEastAsia"/>
        </w:rPr>
        <w:t>件以下であるなど、サービスの利用が少数である場合</w:t>
      </w:r>
    </w:p>
    <w:p>
      <w:pPr>
        <w:pStyle w:val="0"/>
        <w:ind w:left="420" w:hanging="420" w:hangingChars="200"/>
        <w:rPr>
          <w:rFonts w:hint="default" w:asciiTheme="minorEastAsia" w:hAnsiTheme="minorEastAsia"/>
        </w:rPr>
      </w:pPr>
      <w:r>
        <w:rPr>
          <w:rFonts w:hint="eastAsia" w:asciiTheme="minorEastAsia" w:hAnsiTheme="minorEastAsia"/>
        </w:rPr>
        <w:t>（例）訪問看護が位置づけられた計画件数が１月当たり平均５件、通所介護が位置づけられた計画件数が１月当たり平均</w:t>
      </w:r>
      <w:r>
        <w:rPr>
          <w:rFonts w:hint="eastAsia" w:asciiTheme="minorEastAsia" w:hAnsiTheme="minorEastAsia"/>
        </w:rPr>
        <w:t>20</w:t>
      </w:r>
      <w:r>
        <w:rPr>
          <w:rFonts w:hint="eastAsia" w:asciiTheme="minorEastAsia" w:hAnsiTheme="minorEastAsia"/>
        </w:rPr>
        <w:t>件の場合は、紹介率最高法人である訪問看護事業者に対して、減算は適用されないが、紹介率最高法人である通所介護事業者に対して、減算は適用される。</w:t>
      </w:r>
    </w:p>
    <w:p>
      <w:pPr>
        <w:pStyle w:val="15"/>
        <w:numPr>
          <w:ilvl w:val="0"/>
          <w:numId w:val="1"/>
        </w:numPr>
        <w:ind w:leftChars="0"/>
        <w:rPr>
          <w:rFonts w:hint="default" w:asciiTheme="minorEastAsia" w:hAnsiTheme="minorEastAsia"/>
        </w:rPr>
      </w:pPr>
      <w:r>
        <w:rPr>
          <w:rFonts w:hint="eastAsia" w:asciiTheme="minorEastAsia" w:hAnsiTheme="minorEastAsia"/>
        </w:rPr>
        <w:t>サービスの質が高いことによる利用者の希望を勘案した場合などにより特定の事業者に集中していると認められる場合</w:t>
      </w:r>
    </w:p>
    <w:p>
      <w:pPr>
        <w:pStyle w:val="0"/>
        <w:ind w:left="420" w:hanging="420" w:hangingChars="200"/>
        <w:rPr>
          <w:rFonts w:hint="default" w:asciiTheme="minorEastAsia" w:hAnsiTheme="minorEastAsia"/>
        </w:rPr>
      </w:pPr>
      <w:r>
        <w:rPr>
          <w:rFonts w:hint="eastAsia" w:asciiTheme="minorEastAsia" w:hAnsiTheme="minorEastAsia"/>
        </w:rPr>
        <w:t>（例）利用者から質が高いことを理由に当該サービスを利用したい旨の理由書の提出を受けているもの。地域ケア会議等に当該利用者の居宅サービス計画を提出し、支援内容についての意見・助言を受けているものであれば、当該地域ケア会議等の議事録を添付すること。</w:t>
      </w:r>
    </w:p>
    <w:p>
      <w:pPr>
        <w:pStyle w:val="15"/>
        <w:numPr>
          <w:ilvl w:val="0"/>
          <w:numId w:val="1"/>
        </w:numPr>
        <w:ind w:leftChars="0"/>
        <w:rPr>
          <w:rFonts w:hint="default" w:asciiTheme="minorEastAsia" w:hAnsiTheme="minorEastAsia"/>
        </w:rPr>
      </w:pPr>
      <w:r>
        <w:rPr>
          <w:rFonts w:hint="eastAsia" w:asciiTheme="minorEastAsia" w:hAnsiTheme="minorEastAsia"/>
        </w:rPr>
        <w:t>その他正当な理由と能美市長が認めた場合</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4BC5D36"/>
    <w:lvl w:ilvl="0" w:tplc="E584985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Words>
  <Characters>786</Characters>
  <Application>JUST Note</Application>
  <Lines>29</Lines>
  <Paragraphs>14</Paragraphs>
  <CharactersWithSpaces>790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坂野　彩華</cp:lastModifiedBy>
  <cp:lastPrinted>2015-07-03T05:31:00Z</cp:lastPrinted>
  <dcterms:created xsi:type="dcterms:W3CDTF">2018-08-16T01:45:00Z</dcterms:created>
  <dcterms:modified xsi:type="dcterms:W3CDTF">2021-09-27T04:27:08Z</dcterms:modified>
  <cp:revision>5</cp:revision>
</cp:coreProperties>
</file>